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9EF0" w14:textId="298B0101" w:rsidR="006A67E2" w:rsidRDefault="00B96F6A">
      <w:pPr>
        <w:rPr>
          <w:sz w:val="24"/>
          <w:szCs w:val="24"/>
        </w:rPr>
      </w:pPr>
      <w:r>
        <w:rPr>
          <w:sz w:val="24"/>
          <w:szCs w:val="24"/>
        </w:rPr>
        <w:t>S</w:t>
      </w:r>
      <w:r w:rsidR="00991BDE" w:rsidRPr="00652DFB">
        <w:rPr>
          <w:sz w:val="24"/>
          <w:szCs w:val="24"/>
        </w:rPr>
        <w:t>ingle session workshops online using Zoom</w:t>
      </w:r>
      <w:r w:rsidR="00652DFB">
        <w:rPr>
          <w:sz w:val="24"/>
          <w:szCs w:val="24"/>
        </w:rPr>
        <w:t xml:space="preserve"> </w:t>
      </w:r>
      <w:r>
        <w:rPr>
          <w:sz w:val="24"/>
          <w:szCs w:val="24"/>
        </w:rPr>
        <w:t xml:space="preserve">are offered </w:t>
      </w:r>
      <w:r w:rsidR="008135C8">
        <w:rPr>
          <w:sz w:val="24"/>
          <w:szCs w:val="24"/>
        </w:rPr>
        <w:t>free of charge</w:t>
      </w:r>
      <w:r w:rsidR="00834AD3">
        <w:rPr>
          <w:sz w:val="24"/>
          <w:szCs w:val="24"/>
        </w:rPr>
        <w:t>, and often followed after a few weeks with a discussion group.</w:t>
      </w:r>
    </w:p>
    <w:tbl>
      <w:tblPr>
        <w:tblStyle w:val="TableGrid"/>
        <w:tblW w:w="10349" w:type="dxa"/>
        <w:tblInd w:w="-431" w:type="dxa"/>
        <w:tblBorders>
          <w:insideH w:val="none" w:sz="0" w:space="0" w:color="auto"/>
          <w:insideV w:val="none" w:sz="0" w:space="0" w:color="auto"/>
        </w:tblBorders>
        <w:tblLook w:val="04A0" w:firstRow="1" w:lastRow="0" w:firstColumn="1" w:lastColumn="0" w:noHBand="0" w:noVBand="1"/>
      </w:tblPr>
      <w:tblGrid>
        <w:gridCol w:w="5955"/>
        <w:gridCol w:w="4394"/>
      </w:tblGrid>
      <w:tr w:rsidR="00483E08" w:rsidRPr="00991BDE" w14:paraId="692B1CED" w14:textId="77777777" w:rsidTr="006F3596">
        <w:trPr>
          <w:trHeight w:val="432"/>
        </w:trPr>
        <w:tc>
          <w:tcPr>
            <w:tcW w:w="5955" w:type="dxa"/>
          </w:tcPr>
          <w:p w14:paraId="737F0086" w14:textId="6920D9C8" w:rsidR="00483E08" w:rsidRPr="00991BDE" w:rsidRDefault="00483E08" w:rsidP="00483E08">
            <w:pPr>
              <w:pStyle w:val="Heading2"/>
              <w:outlineLvl w:val="1"/>
            </w:pPr>
            <w:r w:rsidRPr="00991BDE">
              <w:t>Finding balance in a Caring Role</w:t>
            </w:r>
          </w:p>
          <w:p w14:paraId="6A4414E1" w14:textId="77777777" w:rsidR="00483E08" w:rsidRPr="00991BDE" w:rsidRDefault="00483E08" w:rsidP="00483E08">
            <w:pPr>
              <w:jc w:val="both"/>
              <w:rPr>
                <w:rFonts w:ascii="Calibri" w:hAnsi="Calibri" w:cs="Calibri"/>
                <w:sz w:val="24"/>
                <w:szCs w:val="24"/>
              </w:rPr>
            </w:pPr>
            <w:r w:rsidRPr="00991BDE">
              <w:rPr>
                <w:rFonts w:ascii="Calibri" w:hAnsi="Calibri" w:cs="Calibri"/>
                <w:sz w:val="24"/>
                <w:szCs w:val="24"/>
              </w:rPr>
              <w:t xml:space="preserve">Being there for someone with mental health issues can bring out the best in us, but can also make us feel a range of negative emotions.  This workshop is for family members, partners and friends to acknowledge and explore the difficulties of a caring role, as well as how to find compassion for ourselves. </w:t>
            </w:r>
          </w:p>
          <w:p w14:paraId="46C6A995" w14:textId="77777777" w:rsidR="006F3596" w:rsidRDefault="006F3596" w:rsidP="006F3596">
            <w:pPr>
              <w:pStyle w:val="Heading2"/>
              <w:outlineLvl w:val="1"/>
              <w:rPr>
                <w:rFonts w:ascii="Calibri" w:hAnsi="Calibri" w:cs="Calibri"/>
                <w:sz w:val="24"/>
                <w:szCs w:val="24"/>
              </w:rPr>
            </w:pPr>
          </w:p>
          <w:p w14:paraId="0CFF797D" w14:textId="35F302FE" w:rsidR="006F3596" w:rsidRDefault="006F3596" w:rsidP="006F3596">
            <w:pPr>
              <w:pStyle w:val="Heading2"/>
              <w:outlineLvl w:val="1"/>
              <w:rPr>
                <w:rFonts w:ascii="Calibri" w:hAnsi="Calibri" w:cs="Calibri"/>
                <w:sz w:val="24"/>
                <w:szCs w:val="24"/>
              </w:rPr>
            </w:pPr>
            <w:r>
              <w:rPr>
                <w:rFonts w:ascii="Calibri" w:hAnsi="Calibri" w:cs="Calibri"/>
                <w:sz w:val="24"/>
                <w:szCs w:val="24"/>
              </w:rPr>
              <w:t xml:space="preserve">Duration: </w:t>
            </w:r>
            <w:r w:rsidRPr="00D94F52">
              <w:rPr>
                <w:rFonts w:asciiTheme="minorHAnsi" w:eastAsiaTheme="minorHAnsi" w:hAnsiTheme="minorHAnsi" w:cstheme="minorBidi"/>
                <w:b w:val="0"/>
                <w:bCs w:val="0"/>
                <w:color w:val="auto"/>
                <w:sz w:val="22"/>
                <w:szCs w:val="22"/>
              </w:rPr>
              <w:t>1.5 hours</w:t>
            </w:r>
          </w:p>
          <w:p w14:paraId="1A2275C1" w14:textId="3FE45739" w:rsidR="00D94F52" w:rsidRPr="00D94F52" w:rsidRDefault="006F3596" w:rsidP="006F3596">
            <w:r w:rsidRPr="00D94F52">
              <w:rPr>
                <w:rFonts w:ascii="Calibri" w:eastAsiaTheme="majorEastAsia" w:hAnsi="Calibri" w:cs="Calibri"/>
                <w:b/>
                <w:bCs/>
                <w:color w:val="2F5496" w:themeColor="accent1" w:themeShade="BF"/>
                <w:sz w:val="24"/>
                <w:szCs w:val="24"/>
              </w:rPr>
              <w:t>Facilitators:</w:t>
            </w:r>
            <w:r>
              <w:t xml:space="preserve"> Karen Allen (Rethink Carers Service), Jane Brown (Central Recovery Team).</w:t>
            </w:r>
          </w:p>
        </w:tc>
        <w:tc>
          <w:tcPr>
            <w:tcW w:w="4394" w:type="dxa"/>
          </w:tcPr>
          <w:p w14:paraId="370C2D1A" w14:textId="465A871B" w:rsidR="00483E08" w:rsidRPr="00991BDE" w:rsidRDefault="006F3596" w:rsidP="005F1C6A">
            <w:pPr>
              <w:pStyle w:val="Heading2"/>
              <w:outlineLvl w:val="1"/>
            </w:pPr>
            <w:r>
              <w:rPr>
                <w:noProof/>
              </w:rPr>
              <w:drawing>
                <wp:inline distT="0" distB="0" distL="0" distR="0" wp14:anchorId="19FE033C" wp14:editId="00144C0F">
                  <wp:extent cx="2552700" cy="224179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0177" cy="2248361"/>
                          </a:xfrm>
                          <a:prstGeom prst="rect">
                            <a:avLst/>
                          </a:prstGeom>
                        </pic:spPr>
                      </pic:pic>
                    </a:graphicData>
                  </a:graphic>
                </wp:inline>
              </w:drawing>
            </w:r>
          </w:p>
        </w:tc>
      </w:tr>
      <w:tr w:rsidR="006F3596" w:rsidRPr="00991BDE" w14:paraId="70806579" w14:textId="77777777" w:rsidTr="006F3596">
        <w:trPr>
          <w:trHeight w:val="432"/>
        </w:trPr>
        <w:tc>
          <w:tcPr>
            <w:tcW w:w="5955" w:type="dxa"/>
          </w:tcPr>
          <w:p w14:paraId="1D99BE8A" w14:textId="77777777" w:rsidR="006F3596" w:rsidRDefault="006F3596" w:rsidP="00483E08">
            <w:pPr>
              <w:pStyle w:val="Heading2"/>
              <w:outlineLvl w:val="1"/>
              <w:rPr>
                <w:sz w:val="24"/>
                <w:szCs w:val="24"/>
              </w:rPr>
            </w:pPr>
          </w:p>
        </w:tc>
        <w:tc>
          <w:tcPr>
            <w:tcW w:w="4394" w:type="dxa"/>
          </w:tcPr>
          <w:p w14:paraId="2E2F87FB" w14:textId="1F908008" w:rsidR="006F3596" w:rsidRDefault="006F3596" w:rsidP="006F3596">
            <w:pPr>
              <w:jc w:val="center"/>
              <w:rPr>
                <w:noProof/>
              </w:rPr>
            </w:pPr>
            <w:r w:rsidRPr="002E2232">
              <w:rPr>
                <w:rFonts w:ascii="Arial" w:hAnsi="Arial" w:cs="Arial"/>
                <w:noProof/>
                <w:color w:val="4A6DA7"/>
                <w:sz w:val="28"/>
                <w:szCs w:val="28"/>
              </w:rPr>
              <w:t>18th June 2020</w:t>
            </w:r>
          </w:p>
        </w:tc>
      </w:tr>
    </w:tbl>
    <w:p w14:paraId="5DE35484" w14:textId="77777777" w:rsidR="00991BDE" w:rsidRPr="00834AD3" w:rsidRDefault="00991BDE" w:rsidP="00991BDE">
      <w:pPr>
        <w:ind w:right="58"/>
        <w:jc w:val="both"/>
        <w:rPr>
          <w:sz w:val="16"/>
          <w:szCs w:val="16"/>
        </w:rPr>
      </w:pPr>
    </w:p>
    <w:tbl>
      <w:tblPr>
        <w:tblStyle w:val="TableGrid"/>
        <w:tblW w:w="10349" w:type="dxa"/>
        <w:tblInd w:w="-431" w:type="dxa"/>
        <w:tblBorders>
          <w:insideH w:val="none" w:sz="0" w:space="0" w:color="auto"/>
          <w:insideV w:val="none" w:sz="0" w:space="0" w:color="auto"/>
        </w:tblBorders>
        <w:tblLook w:val="04A0" w:firstRow="1" w:lastRow="0" w:firstColumn="1" w:lastColumn="0" w:noHBand="0" w:noVBand="1"/>
      </w:tblPr>
      <w:tblGrid>
        <w:gridCol w:w="6318"/>
        <w:gridCol w:w="4031"/>
      </w:tblGrid>
      <w:tr w:rsidR="00FB3CEB" w:rsidRPr="00991BDE" w14:paraId="405B1B2F" w14:textId="77777777" w:rsidTr="006F3596">
        <w:trPr>
          <w:trHeight w:val="297"/>
        </w:trPr>
        <w:tc>
          <w:tcPr>
            <w:tcW w:w="6318" w:type="dxa"/>
          </w:tcPr>
          <w:p w14:paraId="6D12828B" w14:textId="62446FEE" w:rsidR="00483E08" w:rsidRPr="00521BE2" w:rsidRDefault="00483E08" w:rsidP="00483E08">
            <w:pPr>
              <w:pStyle w:val="Heading2"/>
              <w:outlineLvl w:val="1"/>
            </w:pPr>
            <w:r w:rsidRPr="005F1C6A">
              <w:t xml:space="preserve">Communicating with someone </w:t>
            </w:r>
            <w:r w:rsidR="00A72460">
              <w:t>experiencing</w:t>
            </w:r>
            <w:r w:rsidRPr="005F1C6A">
              <w:t xml:space="preserve"> mental health issues</w:t>
            </w:r>
          </w:p>
          <w:p w14:paraId="7A26FCCA" w14:textId="6FC32741" w:rsidR="00483E08" w:rsidRDefault="00483E08" w:rsidP="00483E08">
            <w:pPr>
              <w:jc w:val="both"/>
              <w:rPr>
                <w:rFonts w:ascii="Calibri" w:hAnsi="Calibri" w:cs="Calibri"/>
                <w:sz w:val="24"/>
                <w:szCs w:val="24"/>
              </w:rPr>
            </w:pPr>
            <w:r>
              <w:rPr>
                <w:rFonts w:ascii="Calibri" w:hAnsi="Calibri" w:cs="Calibri"/>
                <w:sz w:val="24"/>
                <w:szCs w:val="24"/>
              </w:rPr>
              <w:t>W</w:t>
            </w:r>
            <w:r w:rsidRPr="00521BE2">
              <w:rPr>
                <w:rFonts w:ascii="Calibri" w:hAnsi="Calibri" w:cs="Calibri"/>
                <w:sz w:val="24"/>
                <w:szCs w:val="24"/>
              </w:rPr>
              <w:t>hen someone is unwell</w:t>
            </w:r>
            <w:r>
              <w:rPr>
                <w:rFonts w:ascii="Calibri" w:hAnsi="Calibri" w:cs="Calibri"/>
                <w:sz w:val="24"/>
                <w:szCs w:val="24"/>
              </w:rPr>
              <w:t>, i</w:t>
            </w:r>
            <w:r w:rsidRPr="00521BE2">
              <w:rPr>
                <w:rFonts w:ascii="Calibri" w:hAnsi="Calibri" w:cs="Calibri"/>
                <w:sz w:val="24"/>
                <w:szCs w:val="24"/>
              </w:rPr>
              <w:t>t can be difficult to know how to keep calm and avoid triggering distress and conflict</w:t>
            </w:r>
            <w:r w:rsidR="00C33C98">
              <w:rPr>
                <w:rFonts w:ascii="Calibri" w:hAnsi="Calibri" w:cs="Calibri"/>
                <w:sz w:val="24"/>
                <w:szCs w:val="24"/>
              </w:rPr>
              <w:t xml:space="preserve"> for</w:t>
            </w:r>
            <w:r w:rsidRPr="00521BE2">
              <w:rPr>
                <w:rFonts w:ascii="Calibri" w:hAnsi="Calibri" w:cs="Calibri"/>
                <w:sz w:val="24"/>
                <w:szCs w:val="24"/>
              </w:rPr>
              <w:t xml:space="preserve"> </w:t>
            </w:r>
            <w:r w:rsidR="00C33C98">
              <w:rPr>
                <w:rFonts w:ascii="Calibri" w:hAnsi="Calibri" w:cs="Calibri"/>
                <w:sz w:val="24"/>
                <w:szCs w:val="24"/>
              </w:rPr>
              <w:t xml:space="preserve">each other </w:t>
            </w:r>
            <w:r w:rsidRPr="00521BE2">
              <w:rPr>
                <w:rFonts w:ascii="Calibri" w:hAnsi="Calibri" w:cs="Calibri"/>
                <w:sz w:val="24"/>
                <w:szCs w:val="24"/>
              </w:rPr>
              <w:t xml:space="preserve">but still talk about the things that matter. </w:t>
            </w:r>
          </w:p>
          <w:p w14:paraId="5A2C3DB9" w14:textId="368FF423" w:rsidR="00483E08" w:rsidRDefault="00483E08" w:rsidP="00FB3CEB">
            <w:pPr>
              <w:jc w:val="both"/>
              <w:rPr>
                <w:rFonts w:ascii="Calibri" w:hAnsi="Calibri" w:cs="Calibri"/>
                <w:sz w:val="24"/>
                <w:szCs w:val="24"/>
              </w:rPr>
            </w:pPr>
            <w:r>
              <w:rPr>
                <w:rFonts w:ascii="Calibri" w:hAnsi="Calibri" w:cs="Calibri"/>
                <w:sz w:val="24"/>
                <w:szCs w:val="24"/>
              </w:rPr>
              <w:t>Sharing</w:t>
            </w:r>
            <w:r w:rsidRPr="00521BE2">
              <w:rPr>
                <w:rFonts w:ascii="Calibri" w:hAnsi="Calibri" w:cs="Calibri"/>
                <w:sz w:val="24"/>
                <w:szCs w:val="24"/>
              </w:rPr>
              <w:t xml:space="preserve"> what has worked for us and what hasn’t</w:t>
            </w:r>
            <w:r>
              <w:rPr>
                <w:rFonts w:ascii="Calibri" w:hAnsi="Calibri" w:cs="Calibri"/>
                <w:sz w:val="24"/>
                <w:szCs w:val="24"/>
              </w:rPr>
              <w:t xml:space="preserve"> </w:t>
            </w:r>
            <w:r w:rsidRPr="00521BE2">
              <w:rPr>
                <w:rFonts w:ascii="Calibri" w:hAnsi="Calibri" w:cs="Calibri"/>
                <w:sz w:val="24"/>
                <w:szCs w:val="24"/>
              </w:rPr>
              <w:t xml:space="preserve">with others, </w:t>
            </w:r>
            <w:r>
              <w:rPr>
                <w:rFonts w:ascii="Calibri" w:hAnsi="Calibri" w:cs="Calibri"/>
                <w:sz w:val="24"/>
                <w:szCs w:val="24"/>
              </w:rPr>
              <w:t>and pr</w:t>
            </w:r>
            <w:r w:rsidRPr="00521BE2">
              <w:rPr>
                <w:rFonts w:ascii="Calibri" w:hAnsi="Calibri" w:cs="Calibri"/>
                <w:sz w:val="24"/>
                <w:szCs w:val="24"/>
              </w:rPr>
              <w:t xml:space="preserve">actising </w:t>
            </w:r>
            <w:r w:rsidRPr="005F1C6A">
              <w:rPr>
                <w:rFonts w:ascii="Calibri" w:hAnsi="Calibri" w:cs="Calibri"/>
                <w:sz w:val="24"/>
                <w:szCs w:val="24"/>
              </w:rPr>
              <w:t>voicing how we feel</w:t>
            </w:r>
            <w:r>
              <w:rPr>
                <w:rFonts w:ascii="Calibri" w:hAnsi="Calibri" w:cs="Calibri"/>
                <w:sz w:val="24"/>
                <w:szCs w:val="24"/>
              </w:rPr>
              <w:t xml:space="preserve"> can help us to </w:t>
            </w:r>
            <w:r w:rsidRPr="00521BE2">
              <w:rPr>
                <w:rFonts w:ascii="Calibri" w:hAnsi="Calibri" w:cs="Calibri"/>
                <w:sz w:val="24"/>
                <w:szCs w:val="24"/>
              </w:rPr>
              <w:t xml:space="preserve">gain confidence and </w:t>
            </w:r>
            <w:r>
              <w:rPr>
                <w:rFonts w:ascii="Calibri" w:hAnsi="Calibri" w:cs="Calibri"/>
                <w:sz w:val="24"/>
                <w:szCs w:val="24"/>
              </w:rPr>
              <w:t>skill in communicating more effectively.</w:t>
            </w:r>
          </w:p>
          <w:p w14:paraId="6CDF6B49" w14:textId="7C79728B" w:rsidR="00FB3CEB" w:rsidRPr="005F1C6A" w:rsidRDefault="00FB3CEB" w:rsidP="003B41E4">
            <w:pPr>
              <w:jc w:val="both"/>
            </w:pPr>
          </w:p>
        </w:tc>
        <w:tc>
          <w:tcPr>
            <w:tcW w:w="4031" w:type="dxa"/>
          </w:tcPr>
          <w:p w14:paraId="4A8B38C3" w14:textId="77777777" w:rsidR="00483E08" w:rsidRDefault="00483E08" w:rsidP="00A90646">
            <w:pPr>
              <w:jc w:val="both"/>
              <w:rPr>
                <w:rFonts w:ascii="Arial" w:hAnsi="Arial" w:cs="Arial"/>
                <w:noProof/>
                <w:color w:val="4A6DA7"/>
                <w:lang w:val="en"/>
              </w:rPr>
            </w:pPr>
          </w:p>
          <w:p w14:paraId="0653C28F" w14:textId="77777777" w:rsidR="00FB3CEB" w:rsidRDefault="00FB3CEB" w:rsidP="00A90646">
            <w:pPr>
              <w:jc w:val="both"/>
              <w:rPr>
                <w:rFonts w:ascii="Arial" w:hAnsi="Arial" w:cs="Arial"/>
                <w:noProof/>
                <w:color w:val="4A6DA7"/>
                <w:sz w:val="24"/>
                <w:szCs w:val="24"/>
                <w:lang w:val="en"/>
              </w:rPr>
            </w:pPr>
          </w:p>
          <w:p w14:paraId="5223BECA" w14:textId="03732290" w:rsidR="00FB3CEB" w:rsidRPr="00CC422F" w:rsidRDefault="00FB3CEB" w:rsidP="00A90646">
            <w:pPr>
              <w:jc w:val="both"/>
              <w:rPr>
                <w:rFonts w:ascii="Calibri" w:hAnsi="Calibri" w:cs="Calibri"/>
                <w:color w:val="7030A0"/>
                <w:sz w:val="24"/>
                <w:szCs w:val="24"/>
              </w:rPr>
            </w:pPr>
            <w:r>
              <w:rPr>
                <w:rFonts w:ascii="Arial" w:hAnsi="Arial" w:cs="Arial"/>
                <w:noProof/>
                <w:color w:val="4A6DA7"/>
                <w:lang w:val="en"/>
              </w:rPr>
              <w:drawing>
                <wp:inline distT="0" distB="0" distL="0" distR="0" wp14:anchorId="73019546" wp14:editId="1EC889A8">
                  <wp:extent cx="2368879" cy="1409396"/>
                  <wp:effectExtent l="0" t="0" r="0" b="635"/>
                  <wp:docPr id="3" name="Picture 3" descr="Two friends talk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friends talking">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23" t="19523" r="6045"/>
                          <a:stretch/>
                        </pic:blipFill>
                        <pic:spPr bwMode="auto">
                          <a:xfrm>
                            <a:off x="0" y="0"/>
                            <a:ext cx="2371967" cy="141123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B41E4" w:rsidRPr="00991BDE" w14:paraId="4C567A8E" w14:textId="77777777" w:rsidTr="006F3596">
        <w:trPr>
          <w:trHeight w:val="297"/>
        </w:trPr>
        <w:tc>
          <w:tcPr>
            <w:tcW w:w="6318" w:type="dxa"/>
          </w:tcPr>
          <w:p w14:paraId="308BFDE9" w14:textId="4D10978A" w:rsidR="003B41E4" w:rsidRDefault="003B41E4" w:rsidP="003B41E4">
            <w:pPr>
              <w:pStyle w:val="Heading2"/>
              <w:outlineLvl w:val="1"/>
              <w:rPr>
                <w:rFonts w:ascii="Calibri" w:hAnsi="Calibri" w:cs="Calibri"/>
                <w:sz w:val="24"/>
                <w:szCs w:val="24"/>
              </w:rPr>
            </w:pPr>
            <w:r>
              <w:rPr>
                <w:rFonts w:ascii="Calibri" w:hAnsi="Calibri" w:cs="Calibri"/>
                <w:sz w:val="24"/>
                <w:szCs w:val="24"/>
              </w:rPr>
              <w:t xml:space="preserve">Duration: </w:t>
            </w:r>
            <w:r w:rsidRPr="00D94F52">
              <w:rPr>
                <w:rFonts w:asciiTheme="minorHAnsi" w:eastAsiaTheme="minorHAnsi" w:hAnsiTheme="minorHAnsi" w:cstheme="minorBidi"/>
                <w:b w:val="0"/>
                <w:bCs w:val="0"/>
                <w:color w:val="auto"/>
                <w:sz w:val="22"/>
                <w:szCs w:val="22"/>
              </w:rPr>
              <w:t>1.5 hours</w:t>
            </w:r>
            <w:r w:rsidR="00900EF4">
              <w:rPr>
                <w:rFonts w:asciiTheme="minorHAnsi" w:eastAsiaTheme="minorHAnsi" w:hAnsiTheme="minorHAnsi" w:cstheme="minorBidi"/>
                <w:b w:val="0"/>
                <w:bCs w:val="0"/>
                <w:color w:val="auto"/>
                <w:sz w:val="22"/>
                <w:szCs w:val="22"/>
              </w:rPr>
              <w:t xml:space="preserve"> with follow up discussion after 2</w:t>
            </w:r>
            <w:r w:rsidR="00B96F6A">
              <w:rPr>
                <w:rFonts w:asciiTheme="minorHAnsi" w:eastAsiaTheme="minorHAnsi" w:hAnsiTheme="minorHAnsi" w:cstheme="minorBidi"/>
                <w:b w:val="0"/>
                <w:bCs w:val="0"/>
                <w:color w:val="auto"/>
                <w:sz w:val="22"/>
                <w:szCs w:val="22"/>
              </w:rPr>
              <w:t>+</w:t>
            </w:r>
            <w:r w:rsidR="00900EF4">
              <w:rPr>
                <w:rFonts w:asciiTheme="minorHAnsi" w:eastAsiaTheme="minorHAnsi" w:hAnsiTheme="minorHAnsi" w:cstheme="minorBidi"/>
                <w:b w:val="0"/>
                <w:bCs w:val="0"/>
                <w:color w:val="auto"/>
                <w:sz w:val="22"/>
                <w:szCs w:val="22"/>
              </w:rPr>
              <w:t xml:space="preserve"> weeks</w:t>
            </w:r>
          </w:p>
          <w:p w14:paraId="0598A3E6" w14:textId="77777777" w:rsidR="003B41E4" w:rsidRDefault="003B41E4" w:rsidP="003B41E4">
            <w:pPr>
              <w:jc w:val="both"/>
              <w:rPr>
                <w:rFonts w:ascii="Calibri" w:hAnsi="Calibri" w:cs="Calibri"/>
                <w:sz w:val="24"/>
                <w:szCs w:val="24"/>
              </w:rPr>
            </w:pPr>
            <w:r w:rsidRPr="00D94F52">
              <w:rPr>
                <w:rFonts w:ascii="Calibri" w:eastAsiaTheme="majorEastAsia" w:hAnsi="Calibri" w:cs="Calibri"/>
                <w:b/>
                <w:bCs/>
                <w:color w:val="2F5496" w:themeColor="accent1" w:themeShade="BF"/>
                <w:sz w:val="24"/>
                <w:szCs w:val="24"/>
              </w:rPr>
              <w:t>Facilitators:</w:t>
            </w:r>
            <w:r>
              <w:t xml:space="preserve"> Karen Allen (Rethink Carers Service), Jane Brown (Central Recovery Team).</w:t>
            </w:r>
          </w:p>
          <w:p w14:paraId="52223A13" w14:textId="77777777" w:rsidR="003B41E4" w:rsidRPr="005F1C6A" w:rsidRDefault="003B41E4" w:rsidP="00483E08">
            <w:pPr>
              <w:pStyle w:val="Heading2"/>
              <w:outlineLvl w:val="1"/>
            </w:pPr>
          </w:p>
        </w:tc>
        <w:tc>
          <w:tcPr>
            <w:tcW w:w="4031" w:type="dxa"/>
          </w:tcPr>
          <w:p w14:paraId="6801B54C" w14:textId="77777777" w:rsidR="006F3596" w:rsidRDefault="006F3596" w:rsidP="006F3596">
            <w:pPr>
              <w:jc w:val="center"/>
              <w:rPr>
                <w:rFonts w:ascii="Arial" w:hAnsi="Arial" w:cs="Arial"/>
                <w:i/>
                <w:iCs/>
                <w:noProof/>
                <w:color w:val="4A6DA7"/>
                <w:sz w:val="28"/>
                <w:szCs w:val="28"/>
              </w:rPr>
            </w:pPr>
          </w:p>
          <w:p w14:paraId="0FD8FD2D" w14:textId="2C80E5EE" w:rsidR="006F3596" w:rsidRPr="006F3596" w:rsidRDefault="006F3596" w:rsidP="006F3596">
            <w:pPr>
              <w:jc w:val="center"/>
              <w:rPr>
                <w:rFonts w:ascii="Arial" w:hAnsi="Arial" w:cs="Arial"/>
                <w:noProof/>
                <w:color w:val="4A6DA7"/>
                <w:sz w:val="28"/>
                <w:szCs w:val="28"/>
              </w:rPr>
            </w:pPr>
            <w:r w:rsidRPr="006F3596">
              <w:rPr>
                <w:rFonts w:ascii="Arial" w:hAnsi="Arial" w:cs="Arial"/>
                <w:noProof/>
                <w:color w:val="4A6DA7"/>
                <w:sz w:val="28"/>
                <w:szCs w:val="28"/>
              </w:rPr>
              <w:t>14th July 2020</w:t>
            </w:r>
          </w:p>
          <w:p w14:paraId="061AC725" w14:textId="141F21A7" w:rsidR="003B41E4" w:rsidRPr="006F3596" w:rsidRDefault="003B41E4" w:rsidP="006F3596">
            <w:pPr>
              <w:jc w:val="center"/>
              <w:rPr>
                <w:rFonts w:ascii="Arial" w:hAnsi="Arial" w:cs="Arial"/>
                <w:noProof/>
                <w:color w:val="4A6DA7"/>
                <w:sz w:val="28"/>
                <w:szCs w:val="28"/>
                <w:lang w:val="en"/>
              </w:rPr>
            </w:pPr>
          </w:p>
        </w:tc>
      </w:tr>
    </w:tbl>
    <w:p w14:paraId="5E1CDF13" w14:textId="16548ED3" w:rsidR="006A67E2" w:rsidRPr="00834AD3" w:rsidRDefault="006A67E2">
      <w:pPr>
        <w:rPr>
          <w:sz w:val="16"/>
          <w:szCs w:val="16"/>
        </w:rPr>
      </w:pPr>
    </w:p>
    <w:tbl>
      <w:tblPr>
        <w:tblStyle w:val="TableGrid"/>
        <w:tblW w:w="10349"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8"/>
        <w:gridCol w:w="4111"/>
      </w:tblGrid>
      <w:tr w:rsidR="00C74812" w:rsidRPr="008E03BA" w14:paraId="51647BEC" w14:textId="77777777" w:rsidTr="00834AD3">
        <w:trPr>
          <w:trHeight w:val="781"/>
        </w:trPr>
        <w:tc>
          <w:tcPr>
            <w:tcW w:w="6238" w:type="dxa"/>
            <w:tcBorders>
              <w:top w:val="single" w:sz="4" w:space="0" w:color="auto"/>
              <w:left w:val="single" w:sz="4" w:space="0" w:color="auto"/>
              <w:bottom w:val="nil"/>
              <w:right w:val="nil"/>
            </w:tcBorders>
          </w:tcPr>
          <w:p w14:paraId="5A8EE1AF" w14:textId="77777777" w:rsidR="00C74812" w:rsidRDefault="006F3596" w:rsidP="00F67C03">
            <w:pPr>
              <w:pStyle w:val="Heading2"/>
              <w:outlineLvl w:val="1"/>
            </w:pPr>
            <w:r>
              <w:t>Re</w:t>
            </w:r>
            <w:r w:rsidR="00C74812" w:rsidRPr="008E03BA">
              <w:t>covery</w:t>
            </w:r>
            <w:r>
              <w:t xml:space="preserve"> – what’s it all about?</w:t>
            </w:r>
          </w:p>
          <w:p w14:paraId="1B91F462" w14:textId="77777777" w:rsidR="006F3596" w:rsidRDefault="006F3596" w:rsidP="006F3596"/>
          <w:p w14:paraId="026E6B92" w14:textId="6121729D" w:rsidR="006F3596" w:rsidRDefault="006F3596" w:rsidP="006F3596">
            <w:pPr>
              <w:jc w:val="both"/>
              <w:rPr>
                <w:rFonts w:ascii="Calibri" w:hAnsi="Calibri" w:cs="Calibri"/>
                <w:sz w:val="24"/>
                <w:szCs w:val="24"/>
              </w:rPr>
            </w:pPr>
            <w:r w:rsidRPr="006F3596">
              <w:rPr>
                <w:rFonts w:ascii="Calibri" w:hAnsi="Calibri" w:cs="Calibri"/>
                <w:sz w:val="24"/>
                <w:szCs w:val="24"/>
              </w:rPr>
              <w:t>It can be difficult to know how to help someone to recover from mental illness. We will all have wondered at some time whether we are doing the right thing, and question what guides mental health workers and ‘recovery navigators’ in their work.</w:t>
            </w:r>
          </w:p>
          <w:p w14:paraId="5E5A2071" w14:textId="109279C1" w:rsidR="006F3596" w:rsidRDefault="006F3596" w:rsidP="006F3596">
            <w:pPr>
              <w:pStyle w:val="Heading2"/>
              <w:outlineLvl w:val="1"/>
              <w:rPr>
                <w:rFonts w:ascii="Calibri" w:hAnsi="Calibri" w:cs="Calibri"/>
                <w:sz w:val="24"/>
                <w:szCs w:val="24"/>
              </w:rPr>
            </w:pPr>
            <w:r>
              <w:rPr>
                <w:rFonts w:ascii="Calibri" w:hAnsi="Calibri" w:cs="Calibri"/>
                <w:sz w:val="24"/>
                <w:szCs w:val="24"/>
              </w:rPr>
              <w:t xml:space="preserve">Duration: </w:t>
            </w:r>
            <w:r w:rsidRPr="00D94F52">
              <w:rPr>
                <w:rFonts w:asciiTheme="minorHAnsi" w:eastAsiaTheme="minorHAnsi" w:hAnsiTheme="minorHAnsi" w:cstheme="minorBidi"/>
                <w:b w:val="0"/>
                <w:bCs w:val="0"/>
                <w:color w:val="auto"/>
                <w:sz w:val="22"/>
                <w:szCs w:val="22"/>
              </w:rPr>
              <w:t>1.5 hours</w:t>
            </w:r>
            <w:r w:rsidR="00900EF4">
              <w:rPr>
                <w:rFonts w:asciiTheme="minorHAnsi" w:eastAsiaTheme="minorHAnsi" w:hAnsiTheme="minorHAnsi" w:cstheme="minorBidi"/>
                <w:b w:val="0"/>
                <w:bCs w:val="0"/>
                <w:color w:val="auto"/>
                <w:sz w:val="22"/>
                <w:szCs w:val="22"/>
              </w:rPr>
              <w:t xml:space="preserve"> with follow up discussion after 2 weeks</w:t>
            </w:r>
          </w:p>
          <w:p w14:paraId="429B72B5" w14:textId="0B4F6725" w:rsidR="006F3596" w:rsidRDefault="006F3596" w:rsidP="006F3596">
            <w:pPr>
              <w:jc w:val="both"/>
              <w:rPr>
                <w:rFonts w:ascii="Calibri" w:hAnsi="Calibri" w:cs="Calibri"/>
                <w:sz w:val="24"/>
                <w:szCs w:val="24"/>
              </w:rPr>
            </w:pPr>
            <w:r w:rsidRPr="00D94F52">
              <w:rPr>
                <w:rFonts w:ascii="Calibri" w:eastAsiaTheme="majorEastAsia" w:hAnsi="Calibri" w:cs="Calibri"/>
                <w:b/>
                <w:bCs/>
                <w:color w:val="2F5496" w:themeColor="accent1" w:themeShade="BF"/>
                <w:sz w:val="24"/>
                <w:szCs w:val="24"/>
              </w:rPr>
              <w:t>Facilitators:</w:t>
            </w:r>
            <w:r>
              <w:t xml:space="preserve"> Karen Allen</w:t>
            </w:r>
            <w:r w:rsidR="002E2232">
              <w:t xml:space="preserve"> &amp; Margaret Price</w:t>
            </w:r>
            <w:r>
              <w:t xml:space="preserve"> (Rethink Carers Service), </w:t>
            </w:r>
            <w:r w:rsidR="002E2232">
              <w:t>Suzanne Gerrish</w:t>
            </w:r>
            <w:r>
              <w:t xml:space="preserve"> (C</w:t>
            </w:r>
            <w:r w:rsidR="002E2232">
              <w:t xml:space="preserve">ommunity Rehab </w:t>
            </w:r>
            <w:r>
              <w:t>Team)</w:t>
            </w:r>
          </w:p>
          <w:p w14:paraId="156034D7" w14:textId="7AF484B1" w:rsidR="006F3596" w:rsidRPr="006F3596" w:rsidRDefault="006F3596" w:rsidP="006F3596">
            <w:pPr>
              <w:jc w:val="both"/>
            </w:pPr>
          </w:p>
        </w:tc>
        <w:tc>
          <w:tcPr>
            <w:tcW w:w="4111" w:type="dxa"/>
            <w:tcBorders>
              <w:top w:val="single" w:sz="4" w:space="0" w:color="auto"/>
              <w:left w:val="nil"/>
              <w:bottom w:val="nil"/>
              <w:right w:val="single" w:sz="4" w:space="0" w:color="auto"/>
            </w:tcBorders>
          </w:tcPr>
          <w:p w14:paraId="3F3AE4B3" w14:textId="6C23F86E" w:rsidR="00C74812" w:rsidRPr="00A77A37" w:rsidRDefault="006F3596" w:rsidP="00F67C03">
            <w:pPr>
              <w:pStyle w:val="Heading2"/>
              <w:outlineLvl w:val="1"/>
              <w:rPr>
                <w:b w:val="0"/>
                <w:bCs w:val="0"/>
                <w:sz w:val="24"/>
                <w:szCs w:val="24"/>
              </w:rPr>
            </w:pPr>
            <w:r>
              <w:rPr>
                <w:noProof/>
              </w:rPr>
              <w:drawing>
                <wp:inline distT="0" distB="0" distL="0" distR="0" wp14:anchorId="3AFE77FE" wp14:editId="114083EE">
                  <wp:extent cx="2435763" cy="1827766"/>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2898" cy="1840624"/>
                          </a:xfrm>
                          <a:prstGeom prst="rect">
                            <a:avLst/>
                          </a:prstGeom>
                        </pic:spPr>
                      </pic:pic>
                    </a:graphicData>
                  </a:graphic>
                </wp:inline>
              </w:drawing>
            </w:r>
          </w:p>
        </w:tc>
      </w:tr>
      <w:tr w:rsidR="00C74812" w:rsidRPr="008E03BA" w14:paraId="28834FBD" w14:textId="77777777" w:rsidTr="00834AD3">
        <w:tc>
          <w:tcPr>
            <w:tcW w:w="6238" w:type="dxa"/>
            <w:tcBorders>
              <w:top w:val="nil"/>
              <w:left w:val="single" w:sz="4" w:space="0" w:color="auto"/>
              <w:bottom w:val="single" w:sz="4" w:space="0" w:color="auto"/>
              <w:right w:val="nil"/>
            </w:tcBorders>
          </w:tcPr>
          <w:p w14:paraId="7E5C5464" w14:textId="77777777" w:rsidR="00C74812" w:rsidRPr="008E03BA" w:rsidRDefault="00C74812" w:rsidP="006F3596">
            <w:pPr>
              <w:spacing w:before="120"/>
              <w:rPr>
                <w:rFonts w:ascii="Arial" w:hAnsi="Arial" w:cs="Arial"/>
                <w:color w:val="595959"/>
              </w:rPr>
            </w:pPr>
          </w:p>
        </w:tc>
        <w:tc>
          <w:tcPr>
            <w:tcW w:w="4111" w:type="dxa"/>
            <w:tcBorders>
              <w:top w:val="nil"/>
              <w:left w:val="nil"/>
              <w:bottom w:val="single" w:sz="4" w:space="0" w:color="auto"/>
              <w:right w:val="single" w:sz="4" w:space="0" w:color="auto"/>
            </w:tcBorders>
            <w:shd w:val="clear" w:color="auto" w:fill="auto"/>
          </w:tcPr>
          <w:p w14:paraId="371E828E" w14:textId="0EAD0C71" w:rsidR="00C74812" w:rsidRPr="002E2232" w:rsidRDefault="006F3596" w:rsidP="006F3596">
            <w:pPr>
              <w:jc w:val="center"/>
              <w:rPr>
                <w:rFonts w:ascii="Arial" w:hAnsi="Arial" w:cs="Arial"/>
                <w:color w:val="595959"/>
              </w:rPr>
            </w:pPr>
            <w:r w:rsidRPr="002E2232">
              <w:rPr>
                <w:rFonts w:ascii="Arial" w:hAnsi="Arial" w:cs="Arial"/>
                <w:noProof/>
                <w:color w:val="4A6DA7"/>
                <w:sz w:val="28"/>
                <w:szCs w:val="28"/>
              </w:rPr>
              <w:t>30th Sept 2020</w:t>
            </w:r>
          </w:p>
        </w:tc>
      </w:tr>
    </w:tbl>
    <w:p w14:paraId="2FDD742C" w14:textId="0F099637" w:rsidR="00307DBE" w:rsidRPr="00FF75A2" w:rsidRDefault="00FF75A2" w:rsidP="00FF75A2">
      <w:pPr>
        <w:tabs>
          <w:tab w:val="left" w:pos="7976"/>
        </w:tabs>
        <w:jc w:val="center"/>
        <w:rPr>
          <w:sz w:val="40"/>
          <w:szCs w:val="40"/>
        </w:rPr>
      </w:pPr>
      <w:r w:rsidRPr="00FF75A2">
        <w:rPr>
          <w:sz w:val="40"/>
          <w:szCs w:val="40"/>
        </w:rPr>
        <w:lastRenderedPageBreak/>
        <w:t>2021</w:t>
      </w:r>
    </w:p>
    <w:tbl>
      <w:tblPr>
        <w:tblStyle w:val="TableGrid"/>
        <w:tblW w:w="9923" w:type="dxa"/>
        <w:tblInd w:w="-5" w:type="dxa"/>
        <w:tblBorders>
          <w:insideH w:val="none" w:sz="0" w:space="0" w:color="auto"/>
          <w:insideV w:val="none" w:sz="0" w:space="0" w:color="auto"/>
        </w:tblBorders>
        <w:tblLook w:val="04A0" w:firstRow="1" w:lastRow="0" w:firstColumn="1" w:lastColumn="0" w:noHBand="0" w:noVBand="1"/>
      </w:tblPr>
      <w:tblGrid>
        <w:gridCol w:w="5438"/>
        <w:gridCol w:w="4485"/>
      </w:tblGrid>
      <w:tr w:rsidR="00FF75A2" w:rsidRPr="008E03BA" w14:paraId="1A3FBAB6" w14:textId="77777777" w:rsidTr="00FF75A2">
        <w:trPr>
          <w:trHeight w:val="2968"/>
        </w:trPr>
        <w:tc>
          <w:tcPr>
            <w:tcW w:w="5438" w:type="dxa"/>
          </w:tcPr>
          <w:p w14:paraId="5B069EB1" w14:textId="77777777" w:rsidR="00FF75A2" w:rsidRPr="008E03BA" w:rsidRDefault="00FF75A2" w:rsidP="00AE7116">
            <w:pPr>
              <w:pStyle w:val="Heading2"/>
              <w:outlineLvl w:val="1"/>
            </w:pPr>
            <w:bookmarkStart w:id="0" w:name="_Hlk54789481"/>
            <w:r>
              <w:t>Attitudes and experiences in</w:t>
            </w:r>
            <w:r w:rsidRPr="008E03BA">
              <w:t xml:space="preserve"> mental health</w:t>
            </w:r>
          </w:p>
          <w:p w14:paraId="2802C4A5" w14:textId="77777777" w:rsidR="00FF75A2" w:rsidRPr="008E03BA" w:rsidRDefault="00FF75A2" w:rsidP="00AE7116">
            <w:pPr>
              <w:spacing w:before="120"/>
              <w:rPr>
                <w:rFonts w:ascii="Arial" w:hAnsi="Arial" w:cs="Arial"/>
                <w:color w:val="595959" w:themeColor="text1" w:themeTint="A6"/>
              </w:rPr>
            </w:pPr>
            <w:r w:rsidRPr="2427CF61">
              <w:rPr>
                <w:rFonts w:ascii="Arial" w:hAnsi="Arial" w:cs="Arial"/>
                <w:color w:val="595959" w:themeColor="text1" w:themeTint="A6"/>
              </w:rPr>
              <w:t xml:space="preserve">A space to explore identity, wellbeing and mental health within Black, Asian and Minority Ethnic communities.  Including a focus on self-care, support, and addressing attitudes and inequalities within society and services to improve our wellbeing.  </w:t>
            </w:r>
          </w:p>
          <w:bookmarkEnd w:id="0"/>
          <w:p w14:paraId="0D3EA757" w14:textId="77777777" w:rsidR="00FF75A2" w:rsidRDefault="00FF75A2" w:rsidP="00AE7116">
            <w:pPr>
              <w:pStyle w:val="Heading2"/>
              <w:outlineLvl w:val="1"/>
              <w:rPr>
                <w:rFonts w:ascii="Calibri" w:hAnsi="Calibri" w:cs="Calibri"/>
                <w:sz w:val="24"/>
                <w:szCs w:val="24"/>
              </w:rPr>
            </w:pPr>
            <w:r>
              <w:rPr>
                <w:rFonts w:ascii="Calibri" w:hAnsi="Calibri" w:cs="Calibri"/>
                <w:sz w:val="24"/>
                <w:szCs w:val="24"/>
              </w:rPr>
              <w:t xml:space="preserve">Duration: </w:t>
            </w:r>
            <w:r w:rsidRPr="00D94F52">
              <w:rPr>
                <w:rFonts w:asciiTheme="minorHAnsi" w:eastAsiaTheme="minorHAnsi" w:hAnsiTheme="minorHAnsi" w:cstheme="minorBidi"/>
                <w:b w:val="0"/>
                <w:bCs w:val="0"/>
                <w:color w:val="auto"/>
                <w:sz w:val="22"/>
                <w:szCs w:val="22"/>
              </w:rPr>
              <w:t>1.5 hours</w:t>
            </w:r>
          </w:p>
          <w:p w14:paraId="37A66D54" w14:textId="77777777" w:rsidR="00FF75A2" w:rsidRPr="00900EF4" w:rsidRDefault="00FF75A2" w:rsidP="00AE7116">
            <w:pPr>
              <w:jc w:val="both"/>
              <w:rPr>
                <w:rFonts w:ascii="Calibri" w:hAnsi="Calibri" w:cs="Calibri"/>
                <w:sz w:val="24"/>
                <w:szCs w:val="24"/>
              </w:rPr>
            </w:pPr>
            <w:r w:rsidRPr="00D94F52">
              <w:rPr>
                <w:rFonts w:ascii="Calibri" w:eastAsiaTheme="majorEastAsia" w:hAnsi="Calibri" w:cs="Calibri"/>
                <w:b/>
                <w:bCs/>
                <w:color w:val="2F5496" w:themeColor="accent1" w:themeShade="BF"/>
                <w:sz w:val="24"/>
                <w:szCs w:val="24"/>
              </w:rPr>
              <w:t>Facilitators:</w:t>
            </w:r>
            <w:r>
              <w:t xml:space="preserve"> Karen Allen &amp; Margaret Price (Rethink Carers Service), Narinder Chana (BME Community Development worker, Rethink).</w:t>
            </w:r>
          </w:p>
        </w:tc>
        <w:tc>
          <w:tcPr>
            <w:tcW w:w="4485" w:type="dxa"/>
          </w:tcPr>
          <w:p w14:paraId="06BCF640" w14:textId="77777777" w:rsidR="00FF75A2" w:rsidRPr="008E03BA" w:rsidRDefault="00FF75A2" w:rsidP="00AE7116">
            <w:pPr>
              <w:pStyle w:val="Heading2"/>
              <w:outlineLvl w:val="1"/>
              <w:rPr>
                <w:rFonts w:ascii="Arial" w:hAnsi="Arial" w:cs="Arial"/>
                <w:color w:val="595959"/>
              </w:rPr>
            </w:pPr>
            <w:r>
              <w:rPr>
                <w:rFonts w:ascii="Arial" w:hAnsi="Arial" w:cs="Arial"/>
                <w:noProof/>
                <w:color w:val="595959"/>
              </w:rPr>
              <w:drawing>
                <wp:inline distT="0" distB="0" distL="0" distR="0" wp14:anchorId="327E7AD2" wp14:editId="393AA75A">
                  <wp:extent cx="2592159" cy="1628775"/>
                  <wp:effectExtent l="0" t="0" r="0" b="0"/>
                  <wp:docPr id="6" name="Picture 6" descr="A person standing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deo pic.JPG"/>
                          <pic:cNvPicPr/>
                        </pic:nvPicPr>
                        <pic:blipFill rotWithShape="1">
                          <a:blip r:embed="rId11">
                            <a:extLst>
                              <a:ext uri="{28A0092B-C50C-407E-A947-70E740481C1C}">
                                <a14:useLocalDpi xmlns:a14="http://schemas.microsoft.com/office/drawing/2010/main" val="0"/>
                              </a:ext>
                            </a:extLst>
                          </a:blip>
                          <a:srcRect l="20624" b="10412"/>
                          <a:stretch/>
                        </pic:blipFill>
                        <pic:spPr bwMode="auto">
                          <a:xfrm>
                            <a:off x="0" y="0"/>
                            <a:ext cx="2618786" cy="1645506"/>
                          </a:xfrm>
                          <a:prstGeom prst="rect">
                            <a:avLst/>
                          </a:prstGeom>
                          <a:ln>
                            <a:noFill/>
                          </a:ln>
                          <a:extLst>
                            <a:ext uri="{53640926-AAD7-44D8-BBD7-CCE9431645EC}">
                              <a14:shadowObscured xmlns:a14="http://schemas.microsoft.com/office/drawing/2010/main"/>
                            </a:ext>
                          </a:extLst>
                        </pic:spPr>
                      </pic:pic>
                    </a:graphicData>
                  </a:graphic>
                </wp:inline>
              </w:drawing>
            </w:r>
          </w:p>
        </w:tc>
      </w:tr>
      <w:tr w:rsidR="00FF75A2" w:rsidRPr="008E03BA" w14:paraId="4639CD1C" w14:textId="77777777" w:rsidTr="00FF75A2">
        <w:tc>
          <w:tcPr>
            <w:tcW w:w="5438" w:type="dxa"/>
          </w:tcPr>
          <w:p w14:paraId="19EA9A35" w14:textId="77777777" w:rsidR="00FF75A2" w:rsidRDefault="00FF75A2" w:rsidP="00AE7116">
            <w:pPr>
              <w:jc w:val="both"/>
              <w:rPr>
                <w:rFonts w:ascii="Calibri" w:hAnsi="Calibri" w:cs="Calibri"/>
                <w:sz w:val="24"/>
                <w:szCs w:val="24"/>
              </w:rPr>
            </w:pPr>
          </w:p>
        </w:tc>
        <w:tc>
          <w:tcPr>
            <w:tcW w:w="4485" w:type="dxa"/>
            <w:shd w:val="clear" w:color="auto" w:fill="auto"/>
          </w:tcPr>
          <w:p w14:paraId="582A9EAC" w14:textId="77777777" w:rsidR="00FF75A2" w:rsidRDefault="00FF75A2" w:rsidP="00AE7116">
            <w:pPr>
              <w:jc w:val="center"/>
              <w:rPr>
                <w:rFonts w:ascii="Arial" w:hAnsi="Arial" w:cs="Arial"/>
                <w:noProof/>
                <w:color w:val="4A6DA7"/>
                <w:sz w:val="28"/>
                <w:szCs w:val="28"/>
              </w:rPr>
            </w:pPr>
            <w:r>
              <w:rPr>
                <w:rFonts w:ascii="Arial" w:hAnsi="Arial" w:cs="Arial"/>
                <w:noProof/>
                <w:color w:val="4A6DA7"/>
                <w:sz w:val="28"/>
                <w:szCs w:val="28"/>
              </w:rPr>
              <w:t>early 2021</w:t>
            </w:r>
          </w:p>
          <w:p w14:paraId="761607E5" w14:textId="77777777" w:rsidR="00FF75A2" w:rsidRPr="00D94F52" w:rsidRDefault="00FF75A2" w:rsidP="00AE7116">
            <w:pPr>
              <w:jc w:val="center"/>
              <w:rPr>
                <w:b/>
                <w:bCs/>
                <w:sz w:val="24"/>
                <w:szCs w:val="24"/>
              </w:rPr>
            </w:pPr>
          </w:p>
        </w:tc>
      </w:tr>
    </w:tbl>
    <w:p w14:paraId="7DD477D8" w14:textId="77777777" w:rsidR="00FF75A2" w:rsidRDefault="00FF75A2" w:rsidP="00A10363">
      <w:pPr>
        <w:tabs>
          <w:tab w:val="left" w:pos="7976"/>
        </w:tabs>
      </w:pPr>
    </w:p>
    <w:tbl>
      <w:tblPr>
        <w:tblStyle w:val="TableGrid"/>
        <w:tblW w:w="9918" w:type="dxa"/>
        <w:tblBorders>
          <w:insideH w:val="none" w:sz="0" w:space="0" w:color="auto"/>
          <w:insideV w:val="none" w:sz="0" w:space="0" w:color="auto"/>
        </w:tblBorders>
        <w:tblLook w:val="04A0" w:firstRow="1" w:lastRow="0" w:firstColumn="1" w:lastColumn="0" w:noHBand="0" w:noVBand="1"/>
      </w:tblPr>
      <w:tblGrid>
        <w:gridCol w:w="5807"/>
        <w:gridCol w:w="4111"/>
      </w:tblGrid>
      <w:tr w:rsidR="00900EF4" w:rsidRPr="008E03BA" w14:paraId="66D28CBC" w14:textId="77777777" w:rsidTr="00900EF4">
        <w:trPr>
          <w:trHeight w:val="2968"/>
        </w:trPr>
        <w:tc>
          <w:tcPr>
            <w:tcW w:w="5807" w:type="dxa"/>
          </w:tcPr>
          <w:p w14:paraId="00D0493D" w14:textId="6E2866BF" w:rsidR="00900EF4" w:rsidRPr="008E03BA" w:rsidRDefault="00900EF4" w:rsidP="001F2E8C">
            <w:pPr>
              <w:pStyle w:val="Heading2"/>
              <w:outlineLvl w:val="1"/>
            </w:pPr>
            <w:bookmarkStart w:id="1" w:name="_GoBack"/>
            <w:bookmarkEnd w:id="1"/>
            <w:r>
              <w:t>Triangle of Care</w:t>
            </w:r>
          </w:p>
          <w:p w14:paraId="4D04D500" w14:textId="0DC51756" w:rsidR="00900EF4" w:rsidRPr="00900EF4" w:rsidRDefault="00900EF4" w:rsidP="001F2E8C">
            <w:pPr>
              <w:spacing w:before="120"/>
              <w:rPr>
                <w:rFonts w:ascii="Arial" w:hAnsi="Arial" w:cs="Arial"/>
                <w:color w:val="595959" w:themeColor="text1" w:themeTint="A6"/>
              </w:rPr>
            </w:pPr>
            <w:r w:rsidRPr="00900EF4">
              <w:rPr>
                <w:rFonts w:ascii="Arial" w:hAnsi="Arial" w:cs="Arial"/>
                <w:color w:val="595959" w:themeColor="text1" w:themeTint="A6"/>
              </w:rPr>
              <w:t xml:space="preserve">The Triangle of Care sets out how carers, service users and professionals should work together to promote safety and recovery and to sustain </w:t>
            </w:r>
            <w:r>
              <w:rPr>
                <w:rFonts w:ascii="Arial" w:hAnsi="Arial" w:cs="Arial"/>
                <w:color w:val="595959" w:themeColor="text1" w:themeTint="A6"/>
              </w:rPr>
              <w:t xml:space="preserve">the </w:t>
            </w:r>
            <w:r w:rsidRPr="00900EF4">
              <w:rPr>
                <w:rFonts w:ascii="Arial" w:hAnsi="Arial" w:cs="Arial"/>
                <w:color w:val="595959" w:themeColor="text1" w:themeTint="A6"/>
              </w:rPr>
              <w:t xml:space="preserve">wellbeing </w:t>
            </w:r>
            <w:r>
              <w:rPr>
                <w:rFonts w:ascii="Arial" w:hAnsi="Arial" w:cs="Arial"/>
                <w:color w:val="595959" w:themeColor="text1" w:themeTint="A6"/>
              </w:rPr>
              <w:t xml:space="preserve">of those using </w:t>
            </w:r>
            <w:r w:rsidRPr="00900EF4">
              <w:rPr>
                <w:rFonts w:ascii="Arial" w:hAnsi="Arial" w:cs="Arial"/>
                <w:color w:val="595959" w:themeColor="text1" w:themeTint="A6"/>
              </w:rPr>
              <w:t xml:space="preserve"> mental health </w:t>
            </w:r>
            <w:r>
              <w:rPr>
                <w:rFonts w:ascii="Arial" w:hAnsi="Arial" w:cs="Arial"/>
                <w:color w:val="595959" w:themeColor="text1" w:themeTint="A6"/>
              </w:rPr>
              <w:t xml:space="preserve">services </w:t>
            </w:r>
            <w:r w:rsidRPr="00900EF4">
              <w:rPr>
                <w:rFonts w:ascii="Arial" w:hAnsi="Arial" w:cs="Arial"/>
                <w:color w:val="595959" w:themeColor="text1" w:themeTint="A6"/>
              </w:rPr>
              <w:t>by including and supporting carers.</w:t>
            </w:r>
          </w:p>
          <w:p w14:paraId="12928194" w14:textId="36035DFC" w:rsidR="00900EF4" w:rsidRPr="00900EF4" w:rsidRDefault="00900EF4" w:rsidP="00900EF4">
            <w:pPr>
              <w:spacing w:before="120"/>
              <w:rPr>
                <w:rFonts w:ascii="Arial" w:hAnsi="Arial" w:cs="Arial"/>
                <w:color w:val="595959" w:themeColor="text1" w:themeTint="A6"/>
              </w:rPr>
            </w:pPr>
            <w:r>
              <w:rPr>
                <w:rFonts w:ascii="Arial" w:hAnsi="Arial" w:cs="Arial"/>
                <w:color w:val="595959" w:themeColor="text1" w:themeTint="A6"/>
              </w:rPr>
              <w:t>But h</w:t>
            </w:r>
            <w:r w:rsidRPr="00900EF4">
              <w:rPr>
                <w:rFonts w:ascii="Arial" w:hAnsi="Arial" w:cs="Arial"/>
                <w:color w:val="595959" w:themeColor="text1" w:themeTint="A6"/>
              </w:rPr>
              <w:t xml:space="preserve">ow does it work in practice? </w:t>
            </w:r>
            <w:r>
              <w:rPr>
                <w:rFonts w:ascii="Arial" w:hAnsi="Arial" w:cs="Arial"/>
                <w:color w:val="595959" w:themeColor="text1" w:themeTint="A6"/>
              </w:rPr>
              <w:t>What can family members learn about this guidance that will help them to be involved in someone’s care?</w:t>
            </w:r>
          </w:p>
          <w:p w14:paraId="0F97F476" w14:textId="6B2F59BC" w:rsidR="00900EF4" w:rsidRDefault="00900EF4" w:rsidP="001F2E8C">
            <w:pPr>
              <w:pStyle w:val="Heading2"/>
              <w:outlineLvl w:val="1"/>
              <w:rPr>
                <w:rFonts w:ascii="Calibri" w:hAnsi="Calibri" w:cs="Calibri"/>
                <w:sz w:val="24"/>
                <w:szCs w:val="24"/>
              </w:rPr>
            </w:pPr>
            <w:r>
              <w:rPr>
                <w:rFonts w:ascii="Calibri" w:hAnsi="Calibri" w:cs="Calibri"/>
                <w:sz w:val="24"/>
                <w:szCs w:val="24"/>
              </w:rPr>
              <w:t xml:space="preserve">Duration: </w:t>
            </w:r>
            <w:r w:rsidRPr="00900EF4">
              <w:rPr>
                <w:rFonts w:asciiTheme="minorHAnsi" w:eastAsiaTheme="minorHAnsi" w:hAnsiTheme="minorHAnsi" w:cstheme="minorBidi"/>
                <w:b w:val="0"/>
                <w:bCs w:val="0"/>
                <w:color w:val="auto"/>
                <w:sz w:val="22"/>
                <w:szCs w:val="22"/>
              </w:rPr>
              <w:t>2</w:t>
            </w:r>
            <w:r w:rsidRPr="00D94F52">
              <w:rPr>
                <w:rFonts w:asciiTheme="minorHAnsi" w:eastAsiaTheme="minorHAnsi" w:hAnsiTheme="minorHAnsi" w:cstheme="minorBidi"/>
                <w:b w:val="0"/>
                <w:bCs w:val="0"/>
                <w:color w:val="auto"/>
                <w:sz w:val="22"/>
                <w:szCs w:val="22"/>
              </w:rPr>
              <w:t xml:space="preserve"> hours</w:t>
            </w:r>
          </w:p>
          <w:p w14:paraId="538A0F69" w14:textId="40862089" w:rsidR="00900EF4" w:rsidRPr="00900EF4" w:rsidRDefault="00900EF4" w:rsidP="001F2E8C">
            <w:pPr>
              <w:jc w:val="both"/>
              <w:rPr>
                <w:rFonts w:ascii="Calibri" w:hAnsi="Calibri" w:cs="Calibri"/>
                <w:sz w:val="24"/>
                <w:szCs w:val="24"/>
              </w:rPr>
            </w:pPr>
            <w:r w:rsidRPr="00D94F52">
              <w:rPr>
                <w:rFonts w:ascii="Calibri" w:eastAsiaTheme="majorEastAsia" w:hAnsi="Calibri" w:cs="Calibri"/>
                <w:b/>
                <w:bCs/>
                <w:color w:val="2F5496" w:themeColor="accent1" w:themeShade="BF"/>
                <w:sz w:val="24"/>
                <w:szCs w:val="24"/>
              </w:rPr>
              <w:t>Facilitators:</w:t>
            </w:r>
            <w:r>
              <w:t xml:space="preserve"> Karen Allen &amp; Margaret Price (Rethink Carers Service)</w:t>
            </w:r>
          </w:p>
        </w:tc>
        <w:tc>
          <w:tcPr>
            <w:tcW w:w="4111" w:type="dxa"/>
          </w:tcPr>
          <w:p w14:paraId="727DFFFD" w14:textId="77542683" w:rsidR="00900EF4" w:rsidRPr="008E03BA" w:rsidRDefault="00900EF4" w:rsidP="001F2E8C">
            <w:pPr>
              <w:pStyle w:val="Heading2"/>
              <w:outlineLvl w:val="1"/>
              <w:rPr>
                <w:rFonts w:ascii="Arial" w:hAnsi="Arial" w:cs="Arial"/>
                <w:color w:val="595959"/>
              </w:rPr>
            </w:pPr>
            <w:r>
              <w:rPr>
                <w:rFonts w:ascii="Arial" w:hAnsi="Arial" w:cs="Arial"/>
                <w:noProof/>
                <w:color w:val="FFFFFF"/>
                <w:sz w:val="20"/>
                <w:szCs w:val="20"/>
                <w:lang w:val="en"/>
              </w:rPr>
              <w:drawing>
                <wp:inline distT="0" distB="0" distL="0" distR="0" wp14:anchorId="3D67BE79" wp14:editId="1C91A13D">
                  <wp:extent cx="2438400" cy="24384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tc>
      </w:tr>
      <w:tr w:rsidR="00900EF4" w:rsidRPr="008E03BA" w14:paraId="189499F0" w14:textId="77777777" w:rsidTr="00900EF4">
        <w:tc>
          <w:tcPr>
            <w:tcW w:w="5807" w:type="dxa"/>
          </w:tcPr>
          <w:p w14:paraId="366E0401" w14:textId="77777777" w:rsidR="00900EF4" w:rsidRDefault="00900EF4" w:rsidP="001F2E8C">
            <w:pPr>
              <w:jc w:val="both"/>
              <w:rPr>
                <w:rFonts w:ascii="Calibri" w:hAnsi="Calibri" w:cs="Calibri"/>
                <w:sz w:val="24"/>
                <w:szCs w:val="24"/>
              </w:rPr>
            </w:pPr>
          </w:p>
        </w:tc>
        <w:tc>
          <w:tcPr>
            <w:tcW w:w="4111" w:type="dxa"/>
            <w:shd w:val="clear" w:color="auto" w:fill="auto"/>
          </w:tcPr>
          <w:p w14:paraId="4D7EE7EF" w14:textId="77777777" w:rsidR="00900EF4" w:rsidRPr="00D94F52" w:rsidRDefault="00900EF4" w:rsidP="00FF75A2">
            <w:pPr>
              <w:jc w:val="center"/>
              <w:rPr>
                <w:b/>
                <w:bCs/>
                <w:sz w:val="24"/>
                <w:szCs w:val="24"/>
              </w:rPr>
            </w:pPr>
          </w:p>
        </w:tc>
      </w:tr>
    </w:tbl>
    <w:p w14:paraId="09FABC5A" w14:textId="465B2A1C" w:rsidR="00A10363" w:rsidRPr="00A10363" w:rsidRDefault="00A10363" w:rsidP="00A10363">
      <w:pPr>
        <w:tabs>
          <w:tab w:val="left" w:pos="7976"/>
        </w:tabs>
      </w:pPr>
      <w:r>
        <w:tab/>
      </w:r>
    </w:p>
    <w:sectPr w:rsidR="00A10363" w:rsidRPr="00A10363" w:rsidSect="00A77A37">
      <w:headerReference w:type="defaul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60E51" w14:textId="77777777" w:rsidR="006A67E2" w:rsidRDefault="006A67E2" w:rsidP="006A67E2">
      <w:pPr>
        <w:spacing w:after="0" w:line="240" w:lineRule="auto"/>
      </w:pPr>
      <w:r>
        <w:separator/>
      </w:r>
    </w:p>
  </w:endnote>
  <w:endnote w:type="continuationSeparator" w:id="0">
    <w:p w14:paraId="6AF052AC" w14:textId="77777777" w:rsidR="006A67E2" w:rsidRDefault="006A67E2" w:rsidP="006A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0DBB9" w14:textId="77777777" w:rsidR="006A67E2" w:rsidRDefault="006A67E2" w:rsidP="006A67E2">
      <w:pPr>
        <w:spacing w:after="0" w:line="240" w:lineRule="auto"/>
      </w:pPr>
      <w:r>
        <w:separator/>
      </w:r>
    </w:p>
  </w:footnote>
  <w:footnote w:type="continuationSeparator" w:id="0">
    <w:p w14:paraId="6DF2AE41" w14:textId="77777777" w:rsidR="006A67E2" w:rsidRDefault="006A67E2" w:rsidP="006A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6A67E2" w14:paraId="5F4407FA" w14:textId="77777777" w:rsidTr="00A90646">
      <w:trPr>
        <w:trHeight w:val="841"/>
      </w:trPr>
      <w:tc>
        <w:tcPr>
          <w:tcW w:w="988" w:type="dxa"/>
        </w:tcPr>
        <w:p w14:paraId="2088864D" w14:textId="77777777" w:rsidR="006A67E2" w:rsidRDefault="006A67E2" w:rsidP="006A67E2">
          <w:pPr>
            <w:pStyle w:val="Heading1"/>
            <w:spacing w:before="120" w:after="120"/>
            <w:outlineLvl w:val="0"/>
            <w:rPr>
              <w:sz w:val="24"/>
              <w:szCs w:val="24"/>
            </w:rPr>
          </w:pPr>
          <w:r>
            <w:rPr>
              <w:noProof/>
            </w:rPr>
            <w:drawing>
              <wp:inline distT="0" distB="0" distL="0" distR="0" wp14:anchorId="4FF2F655" wp14:editId="36E10607">
                <wp:extent cx="461176" cy="457487"/>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ew_2011.png"/>
                        <pic:cNvPicPr/>
                      </pic:nvPicPr>
                      <pic:blipFill>
                        <a:blip r:embed="rId1">
                          <a:extLst>
                            <a:ext uri="{28A0092B-C50C-407E-A947-70E740481C1C}">
                              <a14:useLocalDpi xmlns:a14="http://schemas.microsoft.com/office/drawing/2010/main" val="0"/>
                            </a:ext>
                          </a:extLst>
                        </a:blip>
                        <a:stretch>
                          <a:fillRect/>
                        </a:stretch>
                      </pic:blipFill>
                      <pic:spPr>
                        <a:xfrm>
                          <a:off x="0" y="0"/>
                          <a:ext cx="474675" cy="470878"/>
                        </a:xfrm>
                        <a:prstGeom prst="rect">
                          <a:avLst/>
                        </a:prstGeom>
                      </pic:spPr>
                    </pic:pic>
                  </a:graphicData>
                </a:graphic>
              </wp:inline>
            </w:drawing>
          </w:r>
          <w:r>
            <w:t xml:space="preserve"> </w:t>
          </w:r>
        </w:p>
      </w:tc>
      <w:tc>
        <w:tcPr>
          <w:tcW w:w="8028" w:type="dxa"/>
        </w:tcPr>
        <w:p w14:paraId="30950094" w14:textId="249FC08E" w:rsidR="006A67E2" w:rsidRDefault="006A67E2" w:rsidP="006A67E2">
          <w:pPr>
            <w:pStyle w:val="Heading1"/>
            <w:spacing w:after="120"/>
            <w:outlineLvl w:val="0"/>
            <w:rPr>
              <w:sz w:val="24"/>
              <w:szCs w:val="24"/>
            </w:rPr>
          </w:pPr>
          <w:r>
            <w:t>Rethink Carers Service Online Workshops 2020</w:t>
          </w:r>
        </w:p>
      </w:tc>
    </w:tr>
  </w:tbl>
  <w:p w14:paraId="685295FA" w14:textId="77777777" w:rsidR="006A67E2" w:rsidRDefault="006A67E2" w:rsidP="00834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165AB"/>
    <w:multiLevelType w:val="hybridMultilevel"/>
    <w:tmpl w:val="3C167894"/>
    <w:lvl w:ilvl="0" w:tplc="239C7D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DE"/>
    <w:rsid w:val="0013305B"/>
    <w:rsid w:val="001725F2"/>
    <w:rsid w:val="00272FB1"/>
    <w:rsid w:val="002B7545"/>
    <w:rsid w:val="002C12C4"/>
    <w:rsid w:val="002E2232"/>
    <w:rsid w:val="002F163F"/>
    <w:rsid w:val="002F6A0E"/>
    <w:rsid w:val="00307DBE"/>
    <w:rsid w:val="00312BA1"/>
    <w:rsid w:val="0039177D"/>
    <w:rsid w:val="003B41E4"/>
    <w:rsid w:val="003F7271"/>
    <w:rsid w:val="0040174B"/>
    <w:rsid w:val="004227CA"/>
    <w:rsid w:val="00483E08"/>
    <w:rsid w:val="0048704F"/>
    <w:rsid w:val="00521BE2"/>
    <w:rsid w:val="005B72F9"/>
    <w:rsid w:val="005F1C6A"/>
    <w:rsid w:val="00652DFB"/>
    <w:rsid w:val="006A67E2"/>
    <w:rsid w:val="006F3596"/>
    <w:rsid w:val="008135C8"/>
    <w:rsid w:val="00834AD3"/>
    <w:rsid w:val="008E03BA"/>
    <w:rsid w:val="00900EF4"/>
    <w:rsid w:val="00964175"/>
    <w:rsid w:val="00991BDE"/>
    <w:rsid w:val="00A10363"/>
    <w:rsid w:val="00A7218D"/>
    <w:rsid w:val="00A72460"/>
    <w:rsid w:val="00A77A37"/>
    <w:rsid w:val="00AB328A"/>
    <w:rsid w:val="00AF5047"/>
    <w:rsid w:val="00B13783"/>
    <w:rsid w:val="00B96F6A"/>
    <w:rsid w:val="00C03C6A"/>
    <w:rsid w:val="00C06068"/>
    <w:rsid w:val="00C33C98"/>
    <w:rsid w:val="00C74812"/>
    <w:rsid w:val="00CA1A13"/>
    <w:rsid w:val="00CC422F"/>
    <w:rsid w:val="00D94F52"/>
    <w:rsid w:val="00DA4170"/>
    <w:rsid w:val="00E6080E"/>
    <w:rsid w:val="00FB3CEB"/>
    <w:rsid w:val="00FF75A2"/>
    <w:rsid w:val="2427C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A135DF"/>
  <w15:chartTrackingRefBased/>
  <w15:docId w15:val="{909513E6-211D-4710-A531-7D2B7184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1BDE"/>
    <w:pPr>
      <w:keepNext/>
      <w:keepLines/>
      <w:spacing w:before="40" w:after="0"/>
      <w:outlineLvl w:val="1"/>
    </w:pPr>
    <w:rPr>
      <w:rFonts w:asciiTheme="majorHAnsi" w:eastAsiaTheme="majorEastAsia" w:hAnsiTheme="majorHAnsi" w:cstheme="majorBidi"/>
      <w:b/>
      <w:bCs/>
      <w:color w:val="2F5496" w:themeColor="accent1" w:themeShade="BF"/>
      <w:sz w:val="28"/>
      <w:szCs w:val="26"/>
    </w:rPr>
  </w:style>
  <w:style w:type="paragraph" w:styleId="Heading3">
    <w:name w:val="heading 3"/>
    <w:basedOn w:val="Normal"/>
    <w:next w:val="Normal"/>
    <w:link w:val="Heading3Char"/>
    <w:uiPriority w:val="9"/>
    <w:unhideWhenUsed/>
    <w:qFormat/>
    <w:rsid w:val="00991B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B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1BDE"/>
    <w:rPr>
      <w:rFonts w:asciiTheme="majorHAnsi" w:eastAsiaTheme="majorEastAsia" w:hAnsiTheme="majorHAnsi" w:cstheme="majorBidi"/>
      <w:b/>
      <w:bCs/>
      <w:color w:val="2F5496" w:themeColor="accent1" w:themeShade="BF"/>
      <w:sz w:val="28"/>
      <w:szCs w:val="26"/>
    </w:rPr>
  </w:style>
  <w:style w:type="character" w:customStyle="1" w:styleId="Heading3Char">
    <w:name w:val="Heading 3 Char"/>
    <w:basedOn w:val="DefaultParagraphFont"/>
    <w:link w:val="Heading3"/>
    <w:uiPriority w:val="9"/>
    <w:rsid w:val="00991BD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9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7E2"/>
  </w:style>
  <w:style w:type="paragraph" w:styleId="Footer">
    <w:name w:val="footer"/>
    <w:basedOn w:val="Normal"/>
    <w:link w:val="FooterChar"/>
    <w:uiPriority w:val="99"/>
    <w:unhideWhenUsed/>
    <w:rsid w:val="006A6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622">
      <w:bodyDiv w:val="1"/>
      <w:marLeft w:val="0"/>
      <w:marRight w:val="0"/>
      <w:marTop w:val="0"/>
      <w:marBottom w:val="0"/>
      <w:divBdr>
        <w:top w:val="none" w:sz="0" w:space="0" w:color="auto"/>
        <w:left w:val="none" w:sz="0" w:space="0" w:color="auto"/>
        <w:bottom w:val="none" w:sz="0" w:space="0" w:color="auto"/>
        <w:right w:val="none" w:sz="0" w:space="0" w:color="auto"/>
      </w:divBdr>
    </w:div>
    <w:div w:id="1410229194">
      <w:bodyDiv w:val="1"/>
      <w:marLeft w:val="0"/>
      <w:marRight w:val="0"/>
      <w:marTop w:val="0"/>
      <w:marBottom w:val="0"/>
      <w:divBdr>
        <w:top w:val="none" w:sz="0" w:space="0" w:color="auto"/>
        <w:left w:val="none" w:sz="0" w:space="0" w:color="auto"/>
        <w:bottom w:val="none" w:sz="0" w:space="0" w:color="auto"/>
        <w:right w:val="none" w:sz="0" w:space="0" w:color="auto"/>
      </w:divBdr>
    </w:div>
    <w:div w:id="1630476910">
      <w:bodyDiv w:val="1"/>
      <w:marLeft w:val="0"/>
      <w:marRight w:val="0"/>
      <w:marTop w:val="0"/>
      <w:marBottom w:val="0"/>
      <w:divBdr>
        <w:top w:val="none" w:sz="0" w:space="0" w:color="auto"/>
        <w:left w:val="none" w:sz="0" w:space="0" w:color="auto"/>
        <w:bottom w:val="none" w:sz="0" w:space="0" w:color="auto"/>
        <w:right w:val="none" w:sz="0" w:space="0" w:color="auto"/>
      </w:divBdr>
    </w:div>
    <w:div w:id="19297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nffrgf-a.akamaihd.net/assets/m/102011329/univ/art/102011329_univ_lsr_xl.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48E71D21</Template>
  <TotalTime>46</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Karen Allen</cp:lastModifiedBy>
  <cp:revision>7</cp:revision>
  <dcterms:created xsi:type="dcterms:W3CDTF">2020-10-28T14:35:00Z</dcterms:created>
  <dcterms:modified xsi:type="dcterms:W3CDTF">2020-11-10T12:50:00Z</dcterms:modified>
</cp:coreProperties>
</file>